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9E" w:rsidRPr="00982670" w:rsidRDefault="001A02D5" w:rsidP="00E52610">
      <w:pPr>
        <w:rPr>
          <w:b/>
          <w:sz w:val="18"/>
          <w:szCs w:val="18"/>
        </w:rPr>
      </w:pPr>
      <w:r>
        <w:rPr>
          <w:b/>
          <w:sz w:val="18"/>
          <w:szCs w:val="18"/>
        </w:rPr>
        <w:t>January 2019</w:t>
      </w:r>
    </w:p>
    <w:tbl>
      <w:tblPr>
        <w:tblStyle w:val="LightList-Accent11"/>
        <w:tblW w:w="0" w:type="auto"/>
        <w:tblLook w:val="0000"/>
      </w:tblPr>
      <w:tblGrid>
        <w:gridCol w:w="1845"/>
        <w:gridCol w:w="1845"/>
        <w:gridCol w:w="2802"/>
        <w:gridCol w:w="3060"/>
      </w:tblGrid>
      <w:tr w:rsidR="00D42529" w:rsidTr="00F757BB">
        <w:trPr>
          <w:cnfStyle w:val="000000100000"/>
          <w:trHeight w:val="5685"/>
        </w:trPr>
        <w:tc>
          <w:tcPr>
            <w:cnfStyle w:val="000010000000"/>
            <w:tcW w:w="1845" w:type="dxa"/>
          </w:tcPr>
          <w:p w:rsidR="00D42529" w:rsidRPr="00DC6343" w:rsidRDefault="00D42529" w:rsidP="00DC6343">
            <w:pPr>
              <w:rPr>
                <w:b/>
                <w:sz w:val="18"/>
                <w:szCs w:val="18"/>
              </w:rPr>
            </w:pPr>
            <w:r w:rsidRPr="00DC6343">
              <w:rPr>
                <w:b/>
                <w:sz w:val="18"/>
                <w:szCs w:val="18"/>
              </w:rPr>
              <w:t>Good and Welfare</w:t>
            </w:r>
          </w:p>
          <w:p w:rsidR="00D42529" w:rsidRPr="00DC6343" w:rsidRDefault="00D42529" w:rsidP="00DC6343">
            <w:pPr>
              <w:rPr>
                <w:b/>
                <w:sz w:val="18"/>
                <w:szCs w:val="18"/>
              </w:rPr>
            </w:pPr>
            <w:r w:rsidRPr="00DC6343">
              <w:rPr>
                <w:b/>
                <w:sz w:val="18"/>
                <w:szCs w:val="18"/>
              </w:rPr>
              <w:t>In Memorial Retirees:</w:t>
            </w:r>
          </w:p>
          <w:p w:rsidR="00BA7A0D" w:rsidRDefault="001A02D5"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Je</w:t>
            </w:r>
            <w:r w:rsidR="00E8178F">
              <w:rPr>
                <w:sz w:val="18"/>
                <w:szCs w:val="18"/>
              </w:rPr>
              <w:t>ss</w:t>
            </w:r>
            <w:r>
              <w:rPr>
                <w:sz w:val="18"/>
                <w:szCs w:val="18"/>
              </w:rPr>
              <w:t xml:space="preserve"> Wright</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Walter Ray</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Charlie Ralph</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Gene Wilkinson</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 xml:space="preserve">Joe </w:t>
            </w:r>
            <w:proofErr w:type="spellStart"/>
            <w:r>
              <w:rPr>
                <w:sz w:val="18"/>
                <w:szCs w:val="18"/>
              </w:rPr>
              <w:t>Abanatha</w:t>
            </w:r>
            <w:proofErr w:type="spellEnd"/>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Shirley Greene</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Andy Ling</w:t>
            </w:r>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 xml:space="preserve">Wilbur </w:t>
            </w:r>
            <w:proofErr w:type="spellStart"/>
            <w:r>
              <w:rPr>
                <w:sz w:val="18"/>
                <w:szCs w:val="18"/>
              </w:rPr>
              <w:t>Demerest</w:t>
            </w:r>
            <w:proofErr w:type="spellEnd"/>
          </w:p>
          <w:p w:rsidR="00E8178F"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Dennis Huffman</w:t>
            </w:r>
          </w:p>
          <w:p w:rsidR="00E8178F" w:rsidRPr="00BA7A0D" w:rsidRDefault="00E8178F" w:rsidP="00BA7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Kenneth Scott</w:t>
            </w:r>
          </w:p>
          <w:p w:rsidR="00BA7A0D" w:rsidRPr="00DC6343" w:rsidRDefault="00BA7A0D" w:rsidP="00DC6343">
            <w:pPr>
              <w:rPr>
                <w:sz w:val="18"/>
                <w:szCs w:val="18"/>
              </w:rPr>
            </w:pPr>
          </w:p>
        </w:tc>
        <w:tc>
          <w:tcPr>
            <w:tcW w:w="1845" w:type="dxa"/>
          </w:tcPr>
          <w:p w:rsidR="00D42529" w:rsidRPr="00DC6343" w:rsidRDefault="00D42529" w:rsidP="00DC6343">
            <w:pPr>
              <w:cnfStyle w:val="000000100000"/>
              <w:rPr>
                <w:sz w:val="18"/>
                <w:szCs w:val="18"/>
              </w:rPr>
            </w:pPr>
          </w:p>
        </w:tc>
        <w:tc>
          <w:tcPr>
            <w:cnfStyle w:val="000010000000"/>
            <w:tcW w:w="2802" w:type="dxa"/>
          </w:tcPr>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AC7C82">
            <w:pPr>
              <w:rPr>
                <w:sz w:val="18"/>
                <w:szCs w:val="18"/>
              </w:rPr>
            </w:pPr>
            <w:r>
              <w:rPr>
                <w:noProof/>
                <w:sz w:val="18"/>
                <w:szCs w:val="18"/>
              </w:rPr>
              <w:pict>
                <v:oval id="_x0000_s1027" style="position:absolute;margin-left:-.9pt;margin-top:10.4pt;width:107.25pt;height:123.75pt;z-index:251658240" fillcolor="#c0504d [3205]" strokecolor="#f2f2f2 [3041]" strokeweight="3pt">
                  <v:shadow on="t" type="perspective" color="#622423 [1605]" opacity=".5" offset="1pt" offset2="-1pt"/>
                  <v:textbox style="mso-next-textbox:#_x0000_s1027">
                    <w:txbxContent>
                      <w:p w:rsidR="005F3E19" w:rsidRDefault="005F3E19">
                        <w:pPr>
                          <w:cnfStyle w:val="000010100000"/>
                        </w:pPr>
                        <w:r>
                          <w:t>Stay Informed</w:t>
                        </w:r>
                      </w:p>
                      <w:p w:rsidR="005F3E19" w:rsidRDefault="005F3E19">
                        <w:pPr>
                          <w:cnfStyle w:val="000010100000"/>
                        </w:pPr>
                        <w:r>
                          <w:t>Check out our     Web site @</w:t>
                        </w:r>
                      </w:p>
                      <w:p w:rsidR="005F3E19" w:rsidRDefault="005F3E19">
                        <w:pPr>
                          <w:cnfStyle w:val="000010100000"/>
                        </w:pPr>
                        <w:r>
                          <w:t>USW104.ORG</w:t>
                        </w:r>
                      </w:p>
                      <w:p w:rsidR="005F3E19" w:rsidRDefault="005F3E19">
                        <w:pPr>
                          <w:cnfStyle w:val="000010100000"/>
                        </w:pPr>
                      </w:p>
                    </w:txbxContent>
                  </v:textbox>
                </v:oval>
              </w:pict>
            </w: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Pr="00DC6343" w:rsidRDefault="00D42529" w:rsidP="00D42529">
            <w:pPr>
              <w:rPr>
                <w:sz w:val="18"/>
                <w:szCs w:val="18"/>
              </w:rPr>
            </w:pPr>
          </w:p>
        </w:tc>
        <w:tc>
          <w:tcPr>
            <w:tcW w:w="3060" w:type="dxa"/>
          </w:tcPr>
          <w:p w:rsidR="00D42529" w:rsidRDefault="00D42529">
            <w:pPr>
              <w:cnfStyle w:val="000000100000"/>
              <w:rPr>
                <w:sz w:val="18"/>
                <w:szCs w:val="18"/>
              </w:rPr>
            </w:pPr>
          </w:p>
          <w:p w:rsidR="001E4DA7" w:rsidRDefault="001E4DA7" w:rsidP="001E4DA7">
            <w:pPr>
              <w:jc w:val="center"/>
              <w:cnfStyle w:val="000000100000"/>
              <w:rPr>
                <w:sz w:val="36"/>
                <w:szCs w:val="36"/>
              </w:rPr>
            </w:pPr>
            <w:r w:rsidRPr="001E4DA7">
              <w:rPr>
                <w:sz w:val="36"/>
                <w:szCs w:val="36"/>
              </w:rPr>
              <w:t>UNION MEETINGS</w:t>
            </w:r>
          </w:p>
          <w:p w:rsidR="001E4DA7" w:rsidRPr="001E4DA7" w:rsidRDefault="001E4DA7" w:rsidP="001E4DA7">
            <w:pPr>
              <w:jc w:val="center"/>
              <w:cnfStyle w:val="000000100000"/>
              <w:rPr>
                <w:sz w:val="28"/>
                <w:szCs w:val="28"/>
              </w:rPr>
            </w:pPr>
            <w:r w:rsidRPr="001E4DA7">
              <w:rPr>
                <w:sz w:val="28"/>
                <w:szCs w:val="28"/>
              </w:rPr>
              <w:t>3rd Tuesday of every Month</w:t>
            </w:r>
          </w:p>
          <w:p w:rsidR="001E4DA7" w:rsidRDefault="00420DE6" w:rsidP="001E4DA7">
            <w:pPr>
              <w:jc w:val="center"/>
              <w:cnfStyle w:val="000000100000"/>
              <w:rPr>
                <w:sz w:val="36"/>
                <w:szCs w:val="36"/>
              </w:rPr>
            </w:pPr>
            <w:r>
              <w:rPr>
                <w:sz w:val="36"/>
                <w:szCs w:val="36"/>
              </w:rPr>
              <w:t xml:space="preserve"> </w:t>
            </w:r>
            <w:r w:rsidR="001E4DA7" w:rsidRPr="001E4DA7">
              <w:rPr>
                <w:sz w:val="36"/>
                <w:szCs w:val="36"/>
              </w:rPr>
              <w:t>5:05 am</w:t>
            </w:r>
          </w:p>
          <w:p w:rsidR="00420DE6" w:rsidRDefault="00420DE6" w:rsidP="001E4DA7">
            <w:pPr>
              <w:jc w:val="center"/>
              <w:cnfStyle w:val="000000100000"/>
              <w:rPr>
                <w:sz w:val="36"/>
                <w:szCs w:val="36"/>
              </w:rPr>
            </w:pPr>
            <w:r>
              <w:rPr>
                <w:sz w:val="36"/>
                <w:szCs w:val="36"/>
              </w:rPr>
              <w:t>6:05am</w:t>
            </w:r>
          </w:p>
          <w:p w:rsidR="001E4DA7" w:rsidRDefault="001E4DA7" w:rsidP="001E4DA7">
            <w:pPr>
              <w:jc w:val="center"/>
              <w:cnfStyle w:val="000000100000"/>
              <w:rPr>
                <w:sz w:val="36"/>
                <w:szCs w:val="36"/>
              </w:rPr>
            </w:pPr>
            <w:r>
              <w:rPr>
                <w:sz w:val="36"/>
                <w:szCs w:val="36"/>
              </w:rPr>
              <w:t>7:10am</w:t>
            </w:r>
          </w:p>
          <w:p w:rsidR="001E4DA7" w:rsidRDefault="001E4DA7" w:rsidP="001E4DA7">
            <w:pPr>
              <w:jc w:val="center"/>
              <w:cnfStyle w:val="000000100000"/>
              <w:rPr>
                <w:sz w:val="36"/>
                <w:szCs w:val="36"/>
              </w:rPr>
            </w:pPr>
            <w:r>
              <w:rPr>
                <w:sz w:val="36"/>
                <w:szCs w:val="36"/>
              </w:rPr>
              <w:t>7:40am</w:t>
            </w:r>
          </w:p>
          <w:p w:rsidR="001E4DA7" w:rsidRDefault="001E4DA7" w:rsidP="001E4DA7">
            <w:pPr>
              <w:jc w:val="center"/>
              <w:cnfStyle w:val="000000100000"/>
              <w:rPr>
                <w:sz w:val="36"/>
                <w:szCs w:val="36"/>
              </w:rPr>
            </w:pPr>
            <w:r>
              <w:rPr>
                <w:sz w:val="36"/>
                <w:szCs w:val="36"/>
              </w:rPr>
              <w:t>1:15pm</w:t>
            </w:r>
          </w:p>
          <w:p w:rsidR="001E4DA7" w:rsidRDefault="001E4DA7" w:rsidP="001E4DA7">
            <w:pPr>
              <w:jc w:val="center"/>
              <w:cnfStyle w:val="000000100000"/>
              <w:rPr>
                <w:sz w:val="36"/>
                <w:szCs w:val="36"/>
              </w:rPr>
            </w:pPr>
            <w:r>
              <w:rPr>
                <w:sz w:val="36"/>
                <w:szCs w:val="36"/>
              </w:rPr>
              <w:t>2:15pm</w:t>
            </w:r>
          </w:p>
          <w:p w:rsidR="001E4DA7" w:rsidRDefault="001E4DA7" w:rsidP="001E4DA7">
            <w:pPr>
              <w:jc w:val="center"/>
              <w:cnfStyle w:val="000000100000"/>
              <w:rPr>
                <w:sz w:val="36"/>
                <w:szCs w:val="36"/>
              </w:rPr>
            </w:pPr>
            <w:r>
              <w:rPr>
                <w:sz w:val="36"/>
                <w:szCs w:val="36"/>
              </w:rPr>
              <w:t>3:15pm</w:t>
            </w:r>
          </w:p>
          <w:p w:rsidR="001E4DA7" w:rsidRPr="001E4DA7" w:rsidRDefault="001E4DA7" w:rsidP="001E4DA7">
            <w:pPr>
              <w:jc w:val="center"/>
              <w:cnfStyle w:val="000000100000"/>
              <w:rPr>
                <w:sz w:val="36"/>
                <w:szCs w:val="36"/>
              </w:rPr>
            </w:pPr>
            <w:r>
              <w:rPr>
                <w:sz w:val="36"/>
                <w:szCs w:val="36"/>
              </w:rPr>
              <w:t>3:40pm</w:t>
            </w:r>
          </w:p>
          <w:p w:rsidR="00D42529" w:rsidRPr="00DC6343" w:rsidRDefault="00D42529" w:rsidP="00D42529">
            <w:pPr>
              <w:cnfStyle w:val="000000100000"/>
              <w:rPr>
                <w:sz w:val="18"/>
                <w:szCs w:val="18"/>
              </w:rPr>
            </w:pPr>
          </w:p>
        </w:tc>
      </w:tr>
      <w:tr w:rsidR="000C7DFD" w:rsidTr="00F757BB">
        <w:trPr>
          <w:trHeight w:val="525"/>
        </w:trPr>
        <w:tc>
          <w:tcPr>
            <w:cnfStyle w:val="000010000000"/>
            <w:tcW w:w="9552" w:type="dxa"/>
            <w:gridSpan w:val="4"/>
          </w:tcPr>
          <w:p w:rsidR="000C7DFD" w:rsidRDefault="000C7DFD" w:rsidP="000C7DFD">
            <w:pPr>
              <w:rPr>
                <w:sz w:val="18"/>
                <w:szCs w:val="18"/>
              </w:rPr>
            </w:pPr>
          </w:p>
        </w:tc>
      </w:tr>
      <w:tr w:rsidR="000C7DFD" w:rsidTr="00F757BB">
        <w:trPr>
          <w:cnfStyle w:val="000000100000"/>
          <w:trHeight w:val="4335"/>
        </w:trPr>
        <w:tc>
          <w:tcPr>
            <w:cnfStyle w:val="000010000000"/>
            <w:tcW w:w="3690" w:type="dxa"/>
            <w:gridSpan w:val="2"/>
          </w:tcPr>
          <w:p w:rsidR="000C7DFD" w:rsidRDefault="000C7DFD" w:rsidP="00DC6343">
            <w:pPr>
              <w:rPr>
                <w:b/>
                <w:sz w:val="18"/>
                <w:szCs w:val="18"/>
              </w:rPr>
            </w:pPr>
            <w:r>
              <w:rPr>
                <w:b/>
                <w:sz w:val="18"/>
                <w:szCs w:val="18"/>
              </w:rPr>
              <w:t>DID YOU KNOW:</w:t>
            </w:r>
          </w:p>
          <w:p w:rsidR="00446313" w:rsidRPr="005B184E" w:rsidRDefault="00446313" w:rsidP="00446313">
            <w:pPr>
              <w:rPr>
                <w:rFonts w:asciiTheme="majorHAnsi" w:hAnsiTheme="majorHAnsi"/>
              </w:rPr>
            </w:pPr>
            <w:r w:rsidRPr="005B184E">
              <w:rPr>
                <w:rFonts w:asciiTheme="majorHAnsi" w:hAnsiTheme="majorHAnsi"/>
              </w:rPr>
              <w:t>Flexible Spending Account Reminder</w:t>
            </w:r>
          </w:p>
          <w:p w:rsidR="00446313" w:rsidRPr="005B184E" w:rsidRDefault="00446313" w:rsidP="00446313">
            <w:pPr>
              <w:rPr>
                <w:rFonts w:asciiTheme="majorHAnsi" w:hAnsiTheme="majorHAnsi"/>
              </w:rPr>
            </w:pPr>
            <w:r w:rsidRPr="005B184E">
              <w:rPr>
                <w:rFonts w:asciiTheme="majorHAnsi" w:hAnsiTheme="majorHAnsi"/>
              </w:rPr>
              <w:t>You can still submit expenses that you incurred in 2018 that have not yet been submitted.</w:t>
            </w:r>
          </w:p>
          <w:p w:rsidR="00446313" w:rsidRPr="005B184E" w:rsidRDefault="00446313" w:rsidP="00446313">
            <w:pPr>
              <w:rPr>
                <w:rFonts w:asciiTheme="majorHAnsi" w:hAnsiTheme="majorHAnsi"/>
              </w:rPr>
            </w:pPr>
            <w:r w:rsidRPr="005B184E">
              <w:rPr>
                <w:rFonts w:asciiTheme="majorHAnsi" w:hAnsiTheme="majorHAnsi"/>
              </w:rPr>
              <w:t xml:space="preserve">You have until March </w:t>
            </w:r>
            <w:r w:rsidR="005B184E" w:rsidRPr="005B184E">
              <w:rPr>
                <w:rFonts w:asciiTheme="majorHAnsi" w:hAnsiTheme="majorHAnsi"/>
              </w:rPr>
              <w:t>31 of the next year to submit cl</w:t>
            </w:r>
            <w:r w:rsidRPr="005B184E">
              <w:rPr>
                <w:rFonts w:asciiTheme="majorHAnsi" w:hAnsiTheme="majorHAnsi"/>
              </w:rPr>
              <w:t>aims for eligible expenses incurred through the previous December 31. This January 1 to March 31 period is called the claims run-out period. Your claim must be postmarked by March 31.</w:t>
            </w:r>
          </w:p>
          <w:p w:rsidR="000C7DFD" w:rsidRPr="00DC6343" w:rsidRDefault="000C7DFD" w:rsidP="00993BBE">
            <w:pPr>
              <w:rPr>
                <w:b/>
                <w:sz w:val="18"/>
                <w:szCs w:val="18"/>
              </w:rPr>
            </w:pPr>
          </w:p>
        </w:tc>
        <w:tc>
          <w:tcPr>
            <w:tcW w:w="2802" w:type="dxa"/>
          </w:tcPr>
          <w:p w:rsidR="00993BBE" w:rsidRDefault="00993BBE" w:rsidP="00993BBE">
            <w:pPr>
              <w:jc w:val="center"/>
              <w:cnfStyle w:val="000000100000"/>
              <w:rPr>
                <w:b/>
              </w:rPr>
            </w:pPr>
            <w:r w:rsidRPr="00993BBE">
              <w:rPr>
                <w:b/>
              </w:rPr>
              <w:t>Local 104 Communicator</w:t>
            </w:r>
          </w:p>
          <w:p w:rsidR="00993BBE" w:rsidRPr="00993BBE" w:rsidRDefault="00993BBE" w:rsidP="00993BBE">
            <w:pPr>
              <w:jc w:val="center"/>
              <w:cnfStyle w:val="000000100000"/>
              <w:rPr>
                <w:b/>
              </w:rPr>
            </w:pPr>
            <w:r>
              <w:rPr>
                <w:b/>
                <w:sz w:val="20"/>
                <w:szCs w:val="20"/>
              </w:rPr>
              <w:t>Cheryl Dau</w:t>
            </w:r>
          </w:p>
          <w:p w:rsidR="00993BBE" w:rsidRDefault="00993BBE" w:rsidP="00993BBE">
            <w:pPr>
              <w:jc w:val="center"/>
              <w:cnfStyle w:val="000000100000"/>
              <w:rPr>
                <w:b/>
                <w:sz w:val="20"/>
                <w:szCs w:val="20"/>
              </w:rPr>
            </w:pPr>
            <w:r>
              <w:rPr>
                <w:b/>
                <w:sz w:val="20"/>
                <w:szCs w:val="20"/>
              </w:rPr>
              <w:t>Editor</w:t>
            </w:r>
          </w:p>
          <w:p w:rsidR="00993BBE" w:rsidRDefault="00993BBE" w:rsidP="00993BBE">
            <w:pPr>
              <w:jc w:val="center"/>
              <w:cnfStyle w:val="000000100000"/>
              <w:rPr>
                <w:b/>
                <w:sz w:val="20"/>
                <w:szCs w:val="20"/>
              </w:rPr>
            </w:pPr>
            <w:r>
              <w:rPr>
                <w:b/>
                <w:sz w:val="20"/>
                <w:szCs w:val="20"/>
              </w:rPr>
              <w:t>USW Local 104</w:t>
            </w:r>
          </w:p>
          <w:p w:rsidR="00993BBE" w:rsidRDefault="00993BBE" w:rsidP="00993BBE">
            <w:pPr>
              <w:jc w:val="center"/>
              <w:cnfStyle w:val="000000100000"/>
              <w:rPr>
                <w:b/>
                <w:sz w:val="20"/>
                <w:szCs w:val="20"/>
              </w:rPr>
            </w:pPr>
            <w:r>
              <w:rPr>
                <w:b/>
                <w:sz w:val="20"/>
                <w:szCs w:val="20"/>
              </w:rPr>
              <w:t>3966 Red Brush RD</w:t>
            </w:r>
          </w:p>
          <w:p w:rsidR="00993BBE" w:rsidRDefault="00993BBE" w:rsidP="00993BBE">
            <w:pPr>
              <w:jc w:val="center"/>
              <w:cnfStyle w:val="000000100000"/>
              <w:rPr>
                <w:b/>
                <w:sz w:val="20"/>
                <w:szCs w:val="20"/>
              </w:rPr>
            </w:pPr>
            <w:r>
              <w:rPr>
                <w:b/>
                <w:sz w:val="20"/>
                <w:szCs w:val="20"/>
              </w:rPr>
              <w:t>Newburgh IN 47630</w:t>
            </w:r>
          </w:p>
          <w:p w:rsidR="00993BBE" w:rsidRDefault="00993BBE" w:rsidP="00993BBE">
            <w:pPr>
              <w:jc w:val="center"/>
              <w:cnfStyle w:val="000000100000"/>
              <w:rPr>
                <w:b/>
                <w:sz w:val="20"/>
                <w:szCs w:val="20"/>
              </w:rPr>
            </w:pPr>
            <w:r>
              <w:rPr>
                <w:b/>
                <w:sz w:val="20"/>
                <w:szCs w:val="20"/>
              </w:rPr>
              <w:t>Hall Phone 812-853-3156</w:t>
            </w:r>
          </w:p>
          <w:p w:rsidR="00993BBE" w:rsidRDefault="00993BBE" w:rsidP="00993BBE">
            <w:pPr>
              <w:jc w:val="center"/>
              <w:cnfStyle w:val="000000100000"/>
              <w:rPr>
                <w:b/>
                <w:sz w:val="20"/>
                <w:szCs w:val="20"/>
              </w:rPr>
            </w:pPr>
            <w:r>
              <w:rPr>
                <w:b/>
                <w:sz w:val="20"/>
                <w:szCs w:val="20"/>
              </w:rPr>
              <w:t>Hall Fax 812-853-2973</w:t>
            </w:r>
          </w:p>
          <w:p w:rsidR="00993BBE" w:rsidRDefault="00993BBE" w:rsidP="00993BBE">
            <w:pPr>
              <w:jc w:val="center"/>
              <w:cnfStyle w:val="000000100000"/>
              <w:rPr>
                <w:b/>
                <w:sz w:val="20"/>
                <w:szCs w:val="20"/>
              </w:rPr>
            </w:pPr>
            <w:r>
              <w:rPr>
                <w:b/>
                <w:sz w:val="20"/>
                <w:szCs w:val="20"/>
              </w:rPr>
              <w:t>Email:uswa104@evansville.net</w:t>
            </w:r>
          </w:p>
          <w:p w:rsidR="00993BBE" w:rsidRDefault="00993BBE" w:rsidP="00993BBE">
            <w:pPr>
              <w:jc w:val="center"/>
              <w:cnfStyle w:val="000000100000"/>
              <w:rPr>
                <w:b/>
                <w:sz w:val="20"/>
                <w:szCs w:val="20"/>
              </w:rPr>
            </w:pPr>
            <w:r>
              <w:rPr>
                <w:b/>
                <w:sz w:val="20"/>
                <w:szCs w:val="20"/>
              </w:rPr>
              <w:t>Or Cheryldau@hotmail.com</w:t>
            </w:r>
          </w:p>
          <w:p w:rsidR="00993BBE" w:rsidRDefault="00993BBE" w:rsidP="00993BBE">
            <w:pPr>
              <w:jc w:val="center"/>
              <w:cnfStyle w:val="000000100000"/>
              <w:rPr>
                <w:b/>
                <w:sz w:val="20"/>
                <w:szCs w:val="20"/>
              </w:rPr>
            </w:pPr>
            <w:r>
              <w:rPr>
                <w:b/>
                <w:sz w:val="20"/>
                <w:szCs w:val="20"/>
              </w:rPr>
              <w:t>USW Local 104</w:t>
            </w:r>
          </w:p>
          <w:p w:rsidR="00993BBE" w:rsidRDefault="00993BBE" w:rsidP="00993BBE">
            <w:pPr>
              <w:jc w:val="center"/>
              <w:cnfStyle w:val="000000100000"/>
              <w:rPr>
                <w:b/>
                <w:sz w:val="20"/>
                <w:szCs w:val="20"/>
              </w:rPr>
            </w:pPr>
            <w:r>
              <w:rPr>
                <w:b/>
                <w:sz w:val="20"/>
                <w:szCs w:val="20"/>
              </w:rPr>
              <w:t>P.O. Box 247</w:t>
            </w:r>
          </w:p>
          <w:p w:rsidR="00993BBE" w:rsidRDefault="00993BBE" w:rsidP="00993BBE">
            <w:pPr>
              <w:jc w:val="center"/>
              <w:cnfStyle w:val="000000100000"/>
              <w:rPr>
                <w:b/>
                <w:sz w:val="20"/>
                <w:szCs w:val="20"/>
              </w:rPr>
            </w:pPr>
            <w:r>
              <w:rPr>
                <w:b/>
                <w:sz w:val="20"/>
                <w:szCs w:val="20"/>
              </w:rPr>
              <w:t>Newburgh IN 47629-0247</w:t>
            </w:r>
          </w:p>
          <w:p w:rsidR="00993BBE" w:rsidRDefault="00993BBE" w:rsidP="00993BBE">
            <w:pPr>
              <w:jc w:val="center"/>
              <w:cnfStyle w:val="000000100000"/>
              <w:rPr>
                <w:b/>
                <w:sz w:val="20"/>
                <w:szCs w:val="20"/>
              </w:rPr>
            </w:pPr>
            <w:r>
              <w:rPr>
                <w:b/>
                <w:sz w:val="20"/>
                <w:szCs w:val="20"/>
              </w:rPr>
              <w:t>Http://WWW.USW104.ORG</w:t>
            </w:r>
          </w:p>
          <w:p w:rsidR="00993BBE" w:rsidRPr="00993BBE" w:rsidRDefault="00993BBE" w:rsidP="00993BBE">
            <w:pPr>
              <w:jc w:val="center"/>
              <w:cnfStyle w:val="000000100000"/>
              <w:rPr>
                <w:b/>
                <w:sz w:val="20"/>
                <w:szCs w:val="20"/>
              </w:rPr>
            </w:pPr>
          </w:p>
        </w:tc>
        <w:tc>
          <w:tcPr>
            <w:cnfStyle w:val="000010000000"/>
            <w:tcW w:w="3060" w:type="dxa"/>
          </w:tcPr>
          <w:p w:rsidR="000C7DFD" w:rsidRDefault="00993BBE" w:rsidP="00993BBE">
            <w:pPr>
              <w:rPr>
                <w:sz w:val="32"/>
                <w:szCs w:val="32"/>
              </w:rPr>
            </w:pPr>
            <w:r w:rsidRPr="00993BBE">
              <w:rPr>
                <w:sz w:val="32"/>
                <w:szCs w:val="32"/>
              </w:rPr>
              <w:t>USW Local 104 SOAR</w:t>
            </w:r>
          </w:p>
          <w:p w:rsidR="00993BBE" w:rsidRDefault="00993BBE" w:rsidP="00993BBE">
            <w:pPr>
              <w:rPr>
                <w:sz w:val="32"/>
                <w:szCs w:val="32"/>
              </w:rPr>
            </w:pPr>
            <w:r>
              <w:rPr>
                <w:sz w:val="32"/>
                <w:szCs w:val="32"/>
              </w:rPr>
              <w:t>Mtgs.</w:t>
            </w:r>
          </w:p>
          <w:p w:rsidR="00993BBE" w:rsidRDefault="00993BBE" w:rsidP="00993BBE">
            <w:pPr>
              <w:rPr>
                <w:sz w:val="24"/>
                <w:szCs w:val="24"/>
              </w:rPr>
            </w:pPr>
            <w:r>
              <w:rPr>
                <w:sz w:val="24"/>
                <w:szCs w:val="24"/>
              </w:rPr>
              <w:t>2nd Thursday each Month</w:t>
            </w:r>
          </w:p>
          <w:p w:rsidR="00993BBE" w:rsidRDefault="00993BBE" w:rsidP="00993BBE">
            <w:pPr>
              <w:rPr>
                <w:sz w:val="24"/>
                <w:szCs w:val="24"/>
              </w:rPr>
            </w:pPr>
            <w:r>
              <w:rPr>
                <w:sz w:val="24"/>
                <w:szCs w:val="24"/>
              </w:rPr>
              <w:t>8:00am @ USW Local 104</w:t>
            </w:r>
          </w:p>
          <w:p w:rsidR="00993BBE" w:rsidRDefault="00993BBE" w:rsidP="00993BBE">
            <w:pPr>
              <w:rPr>
                <w:sz w:val="24"/>
                <w:szCs w:val="24"/>
              </w:rPr>
            </w:pPr>
            <w:r>
              <w:rPr>
                <w:sz w:val="24"/>
                <w:szCs w:val="24"/>
              </w:rPr>
              <w:t>Union Hall</w:t>
            </w:r>
          </w:p>
          <w:p w:rsidR="00993BBE" w:rsidRDefault="00420DE6" w:rsidP="00993BBE">
            <w:pPr>
              <w:rPr>
                <w:sz w:val="24"/>
                <w:szCs w:val="24"/>
              </w:rPr>
            </w:pPr>
            <w:r>
              <w:rPr>
                <w:sz w:val="24"/>
                <w:szCs w:val="24"/>
              </w:rPr>
              <w:t xml:space="preserve">3966 </w:t>
            </w:r>
            <w:proofErr w:type="spellStart"/>
            <w:r>
              <w:rPr>
                <w:sz w:val="24"/>
                <w:szCs w:val="24"/>
              </w:rPr>
              <w:t>Redbrush</w:t>
            </w:r>
            <w:proofErr w:type="spellEnd"/>
            <w:r>
              <w:rPr>
                <w:sz w:val="24"/>
                <w:szCs w:val="24"/>
              </w:rPr>
              <w:t xml:space="preserve"> Rd</w:t>
            </w:r>
            <w:r w:rsidR="00993BBE">
              <w:rPr>
                <w:sz w:val="24"/>
                <w:szCs w:val="24"/>
              </w:rPr>
              <w:t>.</w:t>
            </w:r>
          </w:p>
          <w:p w:rsidR="00993BBE" w:rsidRPr="00993BBE" w:rsidRDefault="00993BBE" w:rsidP="00993BBE">
            <w:pPr>
              <w:rPr>
                <w:sz w:val="24"/>
                <w:szCs w:val="24"/>
              </w:rPr>
            </w:pPr>
            <w:r>
              <w:rPr>
                <w:sz w:val="24"/>
                <w:szCs w:val="24"/>
              </w:rPr>
              <w:t>Newburgh, IN</w:t>
            </w:r>
          </w:p>
        </w:tc>
      </w:tr>
      <w:tr w:rsidR="004E67FE" w:rsidTr="00F757BB">
        <w:trPr>
          <w:trHeight w:val="7635"/>
        </w:trPr>
        <w:tc>
          <w:tcPr>
            <w:cnfStyle w:val="000010000000"/>
            <w:tcW w:w="9552" w:type="dxa"/>
            <w:gridSpan w:val="4"/>
            <w:tcBorders>
              <w:top w:val="nil"/>
              <w:left w:val="nil"/>
              <w:bottom w:val="nil"/>
              <w:right w:val="nil"/>
            </w:tcBorders>
          </w:tcPr>
          <w:p w:rsidR="004E67FE" w:rsidRDefault="004E67FE" w:rsidP="00D42529">
            <w:pPr>
              <w:rPr>
                <w:sz w:val="18"/>
                <w:szCs w:val="18"/>
              </w:rPr>
            </w:pPr>
          </w:p>
          <w:p w:rsidR="00F757BB" w:rsidRDefault="00F757BB" w:rsidP="00D42529">
            <w:pPr>
              <w:rPr>
                <w:sz w:val="18"/>
                <w:szCs w:val="18"/>
              </w:rPr>
            </w:pPr>
          </w:p>
          <w:tbl>
            <w:tblPr>
              <w:tblW w:w="92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8"/>
            </w:tblGrid>
            <w:tr w:rsidR="00F4413F" w:rsidTr="00FF1A7E">
              <w:trPr>
                <w:trHeight w:val="2940"/>
              </w:trPr>
              <w:tc>
                <w:tcPr>
                  <w:tcW w:w="9278" w:type="dxa"/>
                  <w:tcBorders>
                    <w:top w:val="nil"/>
                    <w:left w:val="nil"/>
                    <w:bottom w:val="nil"/>
                    <w:right w:val="nil"/>
                  </w:tcBorders>
                </w:tcPr>
                <w:p w:rsidR="00F4413F" w:rsidRPr="00F4413F" w:rsidRDefault="00F4413F" w:rsidP="00F4413F">
                  <w:pPr>
                    <w:spacing w:after="0" w:line="240" w:lineRule="auto"/>
                    <w:ind w:left="-57"/>
                    <w:jc w:val="center"/>
                    <w:rPr>
                      <w:b/>
                      <w:sz w:val="36"/>
                      <w:szCs w:val="36"/>
                      <w:u w:val="single"/>
                    </w:rPr>
                  </w:pPr>
                  <w:r w:rsidRPr="00F4413F">
                    <w:rPr>
                      <w:b/>
                      <w:sz w:val="36"/>
                      <w:szCs w:val="36"/>
                      <w:u w:val="single"/>
                    </w:rPr>
                    <w:t>Know Your Contract</w:t>
                  </w:r>
                </w:p>
                <w:p w:rsidR="00F4413F" w:rsidRDefault="00F4413F" w:rsidP="00F4413F">
                  <w:pPr>
                    <w:spacing w:after="0" w:line="240" w:lineRule="auto"/>
                    <w:ind w:left="-57"/>
                    <w:rPr>
                      <w:sz w:val="18"/>
                      <w:szCs w:val="18"/>
                    </w:rPr>
                  </w:pPr>
                </w:p>
                <w:p w:rsidR="00F4413F" w:rsidRDefault="00F4413F" w:rsidP="00F4413F">
                  <w:pPr>
                    <w:spacing w:after="0" w:line="240" w:lineRule="auto"/>
                    <w:ind w:left="-57"/>
                    <w:rPr>
                      <w:rFonts w:ascii="Arial" w:hAnsi="Arial" w:cs="Arial"/>
                      <w:sz w:val="24"/>
                      <w:szCs w:val="24"/>
                    </w:rPr>
                  </w:pPr>
                  <w:r w:rsidRPr="00F4413F">
                    <w:rPr>
                      <w:rFonts w:ascii="Arial" w:hAnsi="Arial" w:cs="Arial"/>
                      <w:b/>
                      <w:sz w:val="28"/>
                      <w:szCs w:val="28"/>
                    </w:rPr>
                    <w:t xml:space="preserve">Art </w:t>
                  </w:r>
                  <w:r w:rsidR="005F3E19">
                    <w:rPr>
                      <w:rFonts w:ascii="Arial" w:hAnsi="Arial" w:cs="Arial"/>
                      <w:b/>
                      <w:sz w:val="28"/>
                      <w:szCs w:val="28"/>
                    </w:rPr>
                    <w:t>XXXI</w:t>
                  </w:r>
                  <w:r w:rsidR="001A02D5">
                    <w:rPr>
                      <w:rFonts w:ascii="Arial" w:hAnsi="Arial" w:cs="Arial"/>
                      <w:b/>
                      <w:sz w:val="28"/>
                      <w:szCs w:val="28"/>
                    </w:rPr>
                    <w:t xml:space="preserve">. </w:t>
                  </w:r>
                  <w:r w:rsidR="005F3E19">
                    <w:rPr>
                      <w:rFonts w:ascii="Arial" w:hAnsi="Arial" w:cs="Arial"/>
                      <w:b/>
                      <w:sz w:val="28"/>
                      <w:szCs w:val="28"/>
                    </w:rPr>
                    <w:t xml:space="preserve"> Period of Agreement</w:t>
                  </w:r>
                </w:p>
                <w:p w:rsidR="00FF1A7E" w:rsidRDefault="00FF1A7E" w:rsidP="00F4413F">
                  <w:pPr>
                    <w:spacing w:after="0" w:line="240" w:lineRule="auto"/>
                    <w:ind w:left="-57"/>
                    <w:rPr>
                      <w:rFonts w:ascii="Arial" w:hAnsi="Arial" w:cs="Arial"/>
                      <w:sz w:val="24"/>
                      <w:szCs w:val="24"/>
                    </w:rPr>
                  </w:pPr>
                </w:p>
                <w:p w:rsidR="00FF1A7E" w:rsidRPr="00FF1A7E" w:rsidRDefault="00FF1A7E" w:rsidP="0093751E">
                  <w:pPr>
                    <w:spacing w:after="0" w:line="240" w:lineRule="auto"/>
                    <w:ind w:left="-57"/>
                    <w:rPr>
                      <w:rFonts w:ascii="Arial" w:hAnsi="Arial" w:cs="Arial"/>
                      <w:sz w:val="20"/>
                      <w:szCs w:val="20"/>
                    </w:rPr>
                  </w:pPr>
                  <w:r w:rsidRPr="00446EB8">
                    <w:rPr>
                      <w:rFonts w:ascii="Arial" w:hAnsi="Arial" w:cs="Arial"/>
                      <w:sz w:val="20"/>
                      <w:szCs w:val="20"/>
                    </w:rPr>
                    <w:t xml:space="preserve">     </w:t>
                  </w:r>
                  <w:r w:rsidR="005F3E19">
                    <w:rPr>
                      <w:rFonts w:ascii="Arial" w:hAnsi="Arial" w:cs="Arial"/>
                      <w:sz w:val="20"/>
                      <w:szCs w:val="20"/>
                    </w:rPr>
                    <w:t xml:space="preserve">Except as otherwise provided below, this Agreement shall terminate 60 days after either party shall give written notice of termination to the other party, but in any event shall not terminate earlier than 12:00 noon, or at the end of the shift starting before noon, whichever is later, </w:t>
                  </w:r>
                  <w:r w:rsidR="005F3E19" w:rsidRPr="005F3E19">
                    <w:rPr>
                      <w:rFonts w:ascii="Arial" w:hAnsi="Arial" w:cs="Arial"/>
                      <w:b/>
                      <w:sz w:val="20"/>
                      <w:szCs w:val="20"/>
                    </w:rPr>
                    <w:t>May 15, 2019</w:t>
                  </w:r>
                  <w:r w:rsidR="005F3E19">
                    <w:rPr>
                      <w:rFonts w:ascii="Arial" w:hAnsi="Arial" w:cs="Arial"/>
                      <w:sz w:val="20"/>
                      <w:szCs w:val="20"/>
                    </w:rPr>
                    <w:t>.</w:t>
                  </w:r>
                </w:p>
                <w:p w:rsidR="00F4413F" w:rsidRDefault="005F3E19" w:rsidP="005F3E19">
                  <w:pPr>
                    <w:spacing w:after="0" w:line="240" w:lineRule="auto"/>
                    <w:ind w:left="-75" w:firstLine="360"/>
                    <w:rPr>
                      <w:rFonts w:ascii="Arial" w:hAnsi="Arial" w:cs="Arial"/>
                      <w:sz w:val="20"/>
                      <w:szCs w:val="20"/>
                    </w:rPr>
                  </w:pPr>
                  <w:r>
                    <w:rPr>
                      <w:rFonts w:ascii="Arial" w:hAnsi="Arial" w:cs="Arial"/>
                      <w:sz w:val="20"/>
                      <w:szCs w:val="20"/>
                    </w:rPr>
                    <w:t xml:space="preserve">If either party gives such notice, it may include therein notice of its desire to negotiate with respect to pensions(existing provisions or agreements as to pensions to the contrary notwithstanding), and the parties shall meet within 30 days thereafter to negotiate with respect to such matters.  If the parties shall not agree with respect to such matters by the end of 60 days after the giving of such notice, either party may thereafter resort to strike or lockout as the case may be in support of its position in </w:t>
                  </w:r>
                  <w:r w:rsidR="001A02D5">
                    <w:rPr>
                      <w:rFonts w:ascii="Arial" w:hAnsi="Arial" w:cs="Arial"/>
                      <w:sz w:val="20"/>
                      <w:szCs w:val="20"/>
                    </w:rPr>
                    <w:t>r</w:t>
                  </w:r>
                  <w:r>
                    <w:rPr>
                      <w:rFonts w:ascii="Arial" w:hAnsi="Arial" w:cs="Arial"/>
                      <w:sz w:val="20"/>
                      <w:szCs w:val="20"/>
                    </w:rPr>
                    <w:t>espect to such matters as well as any other matter in dispute</w:t>
                  </w:r>
                  <w:r w:rsidR="001A02D5">
                    <w:rPr>
                      <w:rFonts w:ascii="Arial" w:hAnsi="Arial" w:cs="Arial"/>
                      <w:sz w:val="20"/>
                      <w:szCs w:val="20"/>
                    </w:rPr>
                    <w:t xml:space="preserve">, but not earlier than noon </w:t>
                  </w:r>
                  <w:r w:rsidR="001A02D5" w:rsidRPr="001A02D5">
                    <w:rPr>
                      <w:rFonts w:ascii="Arial" w:hAnsi="Arial" w:cs="Arial"/>
                      <w:b/>
                      <w:sz w:val="20"/>
                      <w:szCs w:val="20"/>
                    </w:rPr>
                    <w:t>May 15,</w:t>
                  </w:r>
                  <w:r w:rsidR="001A02D5">
                    <w:rPr>
                      <w:rFonts w:ascii="Arial" w:hAnsi="Arial" w:cs="Arial"/>
                      <w:b/>
                      <w:sz w:val="20"/>
                      <w:szCs w:val="20"/>
                    </w:rPr>
                    <w:t xml:space="preserve"> </w:t>
                  </w:r>
                  <w:r w:rsidR="001A02D5" w:rsidRPr="001A02D5">
                    <w:rPr>
                      <w:rFonts w:ascii="Arial" w:hAnsi="Arial" w:cs="Arial"/>
                      <w:b/>
                      <w:sz w:val="20"/>
                      <w:szCs w:val="20"/>
                    </w:rPr>
                    <w:t>2019</w:t>
                  </w:r>
                  <w:r w:rsidR="001A02D5" w:rsidRPr="001A02D5">
                    <w:rPr>
                      <w:rFonts w:ascii="Arial" w:hAnsi="Arial" w:cs="Arial"/>
                      <w:sz w:val="20"/>
                      <w:szCs w:val="20"/>
                    </w:rPr>
                    <w:t>(the existing agreements or provisions with respect to pension to the contrary notwithstanding).</w:t>
                  </w: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sz w:val="18"/>
                      <w:szCs w:val="18"/>
                    </w:rPr>
                  </w:pPr>
                </w:p>
              </w:tc>
            </w:tr>
            <w:tr w:rsidR="00FF1A7E" w:rsidTr="00FF1A7E">
              <w:trPr>
                <w:trHeight w:val="2940"/>
              </w:trPr>
              <w:tc>
                <w:tcPr>
                  <w:tcW w:w="9278" w:type="dxa"/>
                  <w:tcBorders>
                    <w:top w:val="nil"/>
                    <w:left w:val="nil"/>
                    <w:bottom w:val="nil"/>
                    <w:right w:val="nil"/>
                  </w:tcBorders>
                </w:tcPr>
                <w:p w:rsidR="00FF1A7E" w:rsidRPr="00F4413F" w:rsidRDefault="00BA7A0D" w:rsidP="00F4413F">
                  <w:pPr>
                    <w:spacing w:after="0" w:line="240" w:lineRule="auto"/>
                    <w:ind w:left="-57"/>
                    <w:jc w:val="center"/>
                    <w:rPr>
                      <w:b/>
                      <w:sz w:val="36"/>
                      <w:szCs w:val="36"/>
                      <w:u w:val="single"/>
                    </w:rPr>
                  </w:pPr>
                  <w:r>
                    <w:rPr>
                      <w:noProof/>
                      <w:color w:val="FF0000"/>
                      <w:sz w:val="18"/>
                      <w:szCs w:val="18"/>
                    </w:rPr>
                    <w:drawing>
                      <wp:inline distT="0" distB="0" distL="0" distR="0">
                        <wp:extent cx="1743075" cy="1743075"/>
                        <wp:effectExtent l="19050" t="0" r="9525" b="0"/>
                        <wp:docPr id="1" name="Picture 3" descr="F:\Communicator\2018\Contract2019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unicator\2018\Contract2019sticker.jpg"/>
                                <pic:cNvPicPr>
                                  <a:picLocks noChangeAspect="1" noChangeArrowheads="1"/>
                                </pic:cNvPicPr>
                              </pic:nvPicPr>
                              <pic:blipFill>
                                <a:blip r:embed="rId8" cstate="print"/>
                                <a:srcRect/>
                                <a:stretch>
                                  <a:fillRect/>
                                </a:stretch>
                              </pic:blipFill>
                              <pic:spPr bwMode="auto">
                                <a:xfrm>
                                  <a:off x="0" y="0"/>
                                  <a:ext cx="1743075" cy="1743075"/>
                                </a:xfrm>
                                <a:prstGeom prst="rect">
                                  <a:avLst/>
                                </a:prstGeom>
                                <a:noFill/>
                                <a:ln w="9525">
                                  <a:noFill/>
                                  <a:miter lim="800000"/>
                                  <a:headEnd/>
                                  <a:tailEnd/>
                                </a:ln>
                              </pic:spPr>
                            </pic:pic>
                          </a:graphicData>
                        </a:graphic>
                      </wp:inline>
                    </w:drawing>
                  </w:r>
                </w:p>
              </w:tc>
            </w:tr>
          </w:tbl>
          <w:p w:rsidR="004E67FE" w:rsidRDefault="004E67FE" w:rsidP="00D42529">
            <w:pPr>
              <w:rPr>
                <w:sz w:val="18"/>
                <w:szCs w:val="18"/>
              </w:rPr>
            </w:pPr>
          </w:p>
          <w:p w:rsidR="004E67FE" w:rsidRPr="00F4413F" w:rsidRDefault="00F4413F" w:rsidP="00F4413F">
            <w:pPr>
              <w:jc w:val="center"/>
              <w:rPr>
                <w:sz w:val="48"/>
                <w:szCs w:val="48"/>
              </w:rPr>
            </w:pPr>
            <w:r>
              <w:rPr>
                <w:sz w:val="48"/>
                <w:szCs w:val="48"/>
              </w:rPr>
              <w:t>SAVE SOME MONEY EACH PAYCHECK</w:t>
            </w:r>
          </w:p>
          <w:p w:rsidR="00F4413F" w:rsidRDefault="00F4413F" w:rsidP="001A02D5">
            <w:pPr>
              <w:jc w:val="center"/>
              <w:rPr>
                <w:sz w:val="18"/>
                <w:szCs w:val="18"/>
              </w:rPr>
            </w:pPr>
            <w:r w:rsidRPr="00F4413F">
              <w:rPr>
                <w:sz w:val="48"/>
                <w:szCs w:val="48"/>
              </w:rPr>
              <w:t xml:space="preserve">CONTRACT EXPIRES IN </w:t>
            </w:r>
            <w:r w:rsidR="001A02D5">
              <w:rPr>
                <w:sz w:val="48"/>
                <w:szCs w:val="48"/>
              </w:rPr>
              <w:t>3</w:t>
            </w:r>
            <w:r w:rsidRPr="00F4413F">
              <w:rPr>
                <w:sz w:val="48"/>
                <w:szCs w:val="48"/>
              </w:rPr>
              <w:t xml:space="preserve"> MONTHS</w:t>
            </w:r>
          </w:p>
        </w:tc>
      </w:tr>
    </w:tbl>
    <w:p w:rsidR="00D42529" w:rsidRDefault="00D42529" w:rsidP="00E52610">
      <w:pPr>
        <w:rPr>
          <w:color w:val="FF0000"/>
          <w:sz w:val="18"/>
          <w:szCs w:val="18"/>
        </w:rPr>
      </w:pPr>
      <w:r>
        <w:rPr>
          <w:color w:val="FF0000"/>
          <w:sz w:val="18"/>
          <w:szCs w:val="18"/>
        </w:rPr>
        <w:t xml:space="preserve">     </w:t>
      </w:r>
    </w:p>
    <w:p w:rsidR="00D42529" w:rsidRDefault="00D42529" w:rsidP="00E52610">
      <w:pPr>
        <w:rPr>
          <w:color w:val="FF0000"/>
          <w:sz w:val="18"/>
          <w:szCs w:val="18"/>
        </w:rPr>
      </w:pPr>
    </w:p>
    <w:p w:rsidR="00420DE6" w:rsidRPr="001A02D5" w:rsidRDefault="00420DE6" w:rsidP="00420DE6">
      <w:pPr>
        <w:rPr>
          <w:sz w:val="52"/>
          <w:szCs w:val="52"/>
        </w:rPr>
      </w:pPr>
      <w:r>
        <w:rPr>
          <w:sz w:val="52"/>
          <w:szCs w:val="52"/>
        </w:rPr>
        <w:t xml:space="preserve">T-shirts are </w:t>
      </w:r>
      <w:proofErr w:type="gramStart"/>
      <w:r>
        <w:rPr>
          <w:sz w:val="52"/>
          <w:szCs w:val="52"/>
        </w:rPr>
        <w:t>here,</w:t>
      </w:r>
      <w:proofErr w:type="gramEnd"/>
      <w:r>
        <w:rPr>
          <w:sz w:val="52"/>
          <w:szCs w:val="52"/>
        </w:rPr>
        <w:t xml:space="preserve"> see your CAT member to get yours. </w:t>
      </w:r>
    </w:p>
    <w:p w:rsidR="00420DE6" w:rsidRPr="00420DE6" w:rsidRDefault="00420DE6" w:rsidP="00420DE6">
      <w:pPr>
        <w:spacing w:after="0" w:line="240" w:lineRule="auto"/>
        <w:jc w:val="center"/>
        <w:rPr>
          <w:rFonts w:ascii="Arial" w:eastAsia="Times New Roman" w:hAnsi="Arial" w:cs="Arial"/>
          <w:b/>
          <w:bCs/>
          <w:sz w:val="24"/>
          <w:szCs w:val="24"/>
          <w:u w:val="single"/>
        </w:rPr>
      </w:pPr>
      <w:r w:rsidRPr="00420DE6">
        <w:rPr>
          <w:rFonts w:ascii="Arial" w:eastAsia="Times New Roman" w:hAnsi="Arial" w:cs="Arial"/>
          <w:b/>
          <w:bCs/>
          <w:sz w:val="24"/>
          <w:szCs w:val="24"/>
          <w:u w:val="single"/>
        </w:rPr>
        <w:lastRenderedPageBreak/>
        <w:t>Guidelines for the Intent-to-Retire Incentive Program</w:t>
      </w:r>
    </w:p>
    <w:p w:rsidR="00420DE6" w:rsidRPr="00420DE6" w:rsidRDefault="00420DE6" w:rsidP="00420DE6">
      <w:pPr>
        <w:spacing w:after="0" w:line="240" w:lineRule="auto"/>
        <w:jc w:val="center"/>
        <w:rPr>
          <w:rFonts w:ascii="Arial" w:eastAsia="Times New Roman" w:hAnsi="Arial" w:cs="Arial"/>
          <w:b/>
          <w:bCs/>
          <w:sz w:val="24"/>
          <w:szCs w:val="24"/>
          <w:u w:val="single"/>
        </w:rPr>
      </w:pPr>
    </w:p>
    <w:p w:rsidR="00420DE6" w:rsidRPr="00420DE6" w:rsidRDefault="00420DE6" w:rsidP="00420DE6">
      <w:pPr>
        <w:spacing w:after="0" w:line="240" w:lineRule="auto"/>
        <w:rPr>
          <w:rFonts w:ascii="Arial" w:eastAsia="Times New Roman" w:hAnsi="Arial" w:cs="Arial"/>
          <w:bCs/>
        </w:rPr>
      </w:pPr>
      <w:r w:rsidRPr="00420DE6">
        <w:rPr>
          <w:rFonts w:ascii="Arial" w:eastAsia="Times New Roman" w:hAnsi="Arial" w:cs="Arial"/>
          <w:bCs/>
        </w:rPr>
        <w:t xml:space="preserve">As an Alcoa employee covered by the Alcoa-USW Master Agreement, you’re eligible to receive a $500. payment (less applicable tax deductions), if you submit your Intent-to-Retire Notice to the Human Resources Department </w:t>
      </w:r>
      <w:r w:rsidRPr="00420DE6">
        <w:rPr>
          <w:rFonts w:ascii="Arial" w:eastAsia="Times New Roman" w:hAnsi="Arial" w:cs="Arial"/>
          <w:b/>
          <w:bCs/>
        </w:rPr>
        <w:t>three full months</w:t>
      </w:r>
      <w:r w:rsidRPr="00420DE6">
        <w:rPr>
          <w:rFonts w:ascii="Arial" w:eastAsia="Times New Roman" w:hAnsi="Arial" w:cs="Arial"/>
          <w:bCs/>
        </w:rPr>
        <w:t xml:space="preserve"> in advance of your retirement date.  Please note that employees who receive a voluntary quit package and/or retirement incentive package are not eligible to receive this payment.</w:t>
      </w:r>
    </w:p>
    <w:p w:rsidR="00420DE6" w:rsidRPr="00420DE6" w:rsidRDefault="00420DE6" w:rsidP="00420DE6">
      <w:pPr>
        <w:spacing w:after="0" w:line="240" w:lineRule="auto"/>
        <w:rPr>
          <w:rFonts w:ascii="Arial" w:eastAsia="Times New Roman" w:hAnsi="Arial" w:cs="Arial"/>
          <w:bCs/>
          <w:sz w:val="16"/>
          <w:szCs w:val="16"/>
        </w:rPr>
      </w:pPr>
    </w:p>
    <w:p w:rsidR="00420DE6" w:rsidRPr="00420DE6" w:rsidRDefault="00420DE6" w:rsidP="00420DE6">
      <w:pPr>
        <w:spacing w:after="0" w:line="240" w:lineRule="auto"/>
        <w:rPr>
          <w:rFonts w:ascii="Arial" w:eastAsia="Times New Roman" w:hAnsi="Arial" w:cs="Arial"/>
          <w:bCs/>
        </w:rPr>
      </w:pPr>
      <w:r w:rsidRPr="00420DE6">
        <w:rPr>
          <w:rFonts w:ascii="Arial" w:eastAsia="Times New Roman" w:hAnsi="Arial" w:cs="Arial"/>
          <w:bCs/>
        </w:rPr>
        <w:t>If you’ve decided to retire and are choosing a Normal, 62/10, 60/10, 57/35 (under the Level 2/New Hire Plan), or 30-year retirement type, complete and return the attached Intent-to-Retire Notice to the Human Resources Department.  To qualify for the $500 payment, follow the guidelines below.</w:t>
      </w:r>
    </w:p>
    <w:p w:rsidR="00420DE6" w:rsidRPr="00420DE6" w:rsidRDefault="00420DE6" w:rsidP="00420DE6">
      <w:pPr>
        <w:spacing w:after="0" w:line="240" w:lineRule="auto"/>
        <w:rPr>
          <w:rFonts w:ascii="Arial" w:eastAsia="Times New Roman" w:hAnsi="Arial" w:cs="Arial"/>
          <w:bCs/>
          <w:sz w:val="16"/>
          <w:szCs w:val="16"/>
        </w:rPr>
      </w:pPr>
    </w:p>
    <w:p w:rsidR="00420DE6" w:rsidRPr="00420DE6" w:rsidRDefault="00420DE6" w:rsidP="00420DE6">
      <w:pPr>
        <w:numPr>
          <w:ilvl w:val="0"/>
          <w:numId w:val="1"/>
        </w:numPr>
        <w:spacing w:after="0" w:line="240" w:lineRule="auto"/>
        <w:contextualSpacing/>
        <w:rPr>
          <w:rFonts w:ascii="Arial" w:eastAsia="Calibri" w:hAnsi="Arial" w:cs="Arial"/>
          <w:bCs/>
        </w:rPr>
      </w:pPr>
      <w:r w:rsidRPr="00420DE6">
        <w:rPr>
          <w:rFonts w:ascii="Arial" w:eastAsia="Calibri" w:hAnsi="Arial" w:cs="Arial"/>
          <w:bCs/>
        </w:rPr>
        <w:t xml:space="preserve">Complete and return your Intent-to-Retire Notice to the Human Resource Department at least </w:t>
      </w:r>
      <w:r w:rsidRPr="00420DE6">
        <w:rPr>
          <w:rFonts w:ascii="Arial" w:eastAsia="Calibri" w:hAnsi="Arial" w:cs="Arial"/>
          <w:b/>
          <w:bCs/>
        </w:rPr>
        <w:t>three full months</w:t>
      </w:r>
      <w:r w:rsidRPr="00420DE6">
        <w:rPr>
          <w:rFonts w:ascii="Arial" w:eastAsia="Calibri" w:hAnsi="Arial" w:cs="Arial"/>
          <w:bCs/>
        </w:rPr>
        <w:t xml:space="preserve"> before your selected retirement date, For example, if you want to retire on November 1, 2006, you must submit your notice on or before August 1, 2006.  This notice will serve as the written notification of your intention to retire from the company.</w:t>
      </w:r>
    </w:p>
    <w:p w:rsidR="00420DE6" w:rsidRPr="00420DE6" w:rsidRDefault="00420DE6" w:rsidP="00420DE6">
      <w:pPr>
        <w:spacing w:line="240" w:lineRule="auto"/>
        <w:ind w:left="720"/>
        <w:contextualSpacing/>
        <w:rPr>
          <w:rFonts w:ascii="Arial" w:eastAsia="Calibri" w:hAnsi="Arial" w:cs="Arial"/>
          <w:bCs/>
          <w:sz w:val="16"/>
          <w:szCs w:val="16"/>
        </w:rPr>
      </w:pPr>
    </w:p>
    <w:p w:rsidR="00420DE6" w:rsidRPr="00420DE6" w:rsidRDefault="00420DE6" w:rsidP="00420DE6">
      <w:pPr>
        <w:numPr>
          <w:ilvl w:val="0"/>
          <w:numId w:val="1"/>
        </w:numPr>
        <w:spacing w:after="0" w:line="240" w:lineRule="auto"/>
        <w:contextualSpacing/>
        <w:rPr>
          <w:rFonts w:ascii="Arial" w:eastAsia="Calibri" w:hAnsi="Arial" w:cs="Arial"/>
          <w:bCs/>
        </w:rPr>
      </w:pPr>
      <w:r w:rsidRPr="00420DE6">
        <w:rPr>
          <w:rFonts w:ascii="Arial" w:eastAsia="Calibri" w:hAnsi="Arial" w:cs="Arial"/>
          <w:bCs/>
        </w:rPr>
        <w:t>Next, start the formal retirement process, if you’re eligible for one of the retirement types identified above or are within 90 days of becoming eligible to retire under one of the retirement types identified above.</w:t>
      </w:r>
    </w:p>
    <w:p w:rsidR="00420DE6" w:rsidRPr="00420DE6" w:rsidRDefault="00420DE6" w:rsidP="00420DE6">
      <w:pPr>
        <w:spacing w:line="240" w:lineRule="auto"/>
        <w:ind w:left="720"/>
        <w:contextualSpacing/>
        <w:rPr>
          <w:rFonts w:ascii="Arial" w:eastAsia="Calibri" w:hAnsi="Arial" w:cs="Arial"/>
          <w:bCs/>
          <w:sz w:val="16"/>
          <w:szCs w:val="16"/>
        </w:rPr>
      </w:pPr>
    </w:p>
    <w:p w:rsidR="00420DE6" w:rsidRPr="00420DE6" w:rsidRDefault="00420DE6" w:rsidP="00420DE6">
      <w:pPr>
        <w:spacing w:line="240" w:lineRule="auto"/>
        <w:ind w:left="720"/>
        <w:contextualSpacing/>
        <w:rPr>
          <w:rFonts w:ascii="Arial" w:eastAsia="Calibri" w:hAnsi="Arial" w:cs="Arial"/>
          <w:bCs/>
        </w:rPr>
      </w:pPr>
      <w:r w:rsidRPr="00420DE6">
        <w:rPr>
          <w:rFonts w:ascii="Arial" w:eastAsia="Calibri" w:hAnsi="Arial" w:cs="Arial"/>
          <w:bCs/>
        </w:rPr>
        <w:t xml:space="preserve">To do so, you can call 1-844-31ALCOA weekdays, from 9 a.m. to 5 p.m. Eastern Standard Time to speak with a retirement specialist who can help guide you through the process.  (This process was formerly handled by the Alcoa Retirement Service Center.)  Or if you prefer, you can start the process online.  </w:t>
      </w:r>
    </w:p>
    <w:p w:rsidR="00420DE6" w:rsidRPr="00420DE6" w:rsidRDefault="00420DE6" w:rsidP="00420DE6">
      <w:pPr>
        <w:spacing w:line="240" w:lineRule="auto"/>
        <w:ind w:left="720"/>
        <w:contextualSpacing/>
        <w:rPr>
          <w:rFonts w:ascii="Arial" w:eastAsia="Calibri" w:hAnsi="Arial" w:cs="Arial"/>
          <w:bCs/>
        </w:rPr>
      </w:pPr>
      <w:r w:rsidRPr="00420DE6">
        <w:rPr>
          <w:rFonts w:ascii="Arial" w:eastAsia="Calibri" w:hAnsi="Arial" w:cs="Arial"/>
          <w:bCs/>
        </w:rPr>
        <w:t>It’s fast and easy.</w:t>
      </w:r>
    </w:p>
    <w:p w:rsidR="00420DE6" w:rsidRPr="00420DE6" w:rsidRDefault="00420DE6" w:rsidP="00420DE6">
      <w:pPr>
        <w:numPr>
          <w:ilvl w:val="0"/>
          <w:numId w:val="2"/>
        </w:numPr>
        <w:spacing w:after="0" w:line="240" w:lineRule="auto"/>
        <w:contextualSpacing/>
        <w:rPr>
          <w:rFonts w:ascii="Arial" w:eastAsia="Calibri" w:hAnsi="Arial" w:cs="Arial"/>
          <w:bCs/>
        </w:rPr>
      </w:pPr>
      <w:r w:rsidRPr="00420DE6">
        <w:rPr>
          <w:rFonts w:ascii="Arial" w:eastAsia="Calibri" w:hAnsi="Arial" w:cs="Arial"/>
          <w:bCs/>
        </w:rPr>
        <w:t xml:space="preserve">Go to Your Benefits Resources Web site at </w:t>
      </w:r>
      <w:hyperlink r:id="rId9" w:history="1">
        <w:r w:rsidRPr="00420DE6">
          <w:rPr>
            <w:rFonts w:ascii="Arial" w:eastAsia="Calibri" w:hAnsi="Arial" w:cs="Arial"/>
            <w:b/>
            <w:u w:val="single"/>
          </w:rPr>
          <w:t>http://resources.hewitt.com/alcoa</w:t>
        </w:r>
      </w:hyperlink>
      <w:r w:rsidRPr="00420DE6">
        <w:rPr>
          <w:rFonts w:ascii="Arial" w:eastAsia="Calibri" w:hAnsi="Arial" w:cs="Arial"/>
          <w:bCs/>
        </w:rPr>
        <w:t>.</w:t>
      </w:r>
    </w:p>
    <w:p w:rsidR="00420DE6" w:rsidRPr="00420DE6" w:rsidRDefault="00420DE6" w:rsidP="00420DE6">
      <w:pPr>
        <w:numPr>
          <w:ilvl w:val="0"/>
          <w:numId w:val="2"/>
        </w:numPr>
        <w:spacing w:after="0" w:line="240" w:lineRule="auto"/>
        <w:contextualSpacing/>
        <w:rPr>
          <w:rFonts w:ascii="Arial" w:eastAsia="Calibri" w:hAnsi="Arial" w:cs="Arial"/>
          <w:bCs/>
        </w:rPr>
      </w:pPr>
      <w:r w:rsidRPr="00420DE6">
        <w:rPr>
          <w:rFonts w:ascii="Arial" w:eastAsia="Calibri" w:hAnsi="Arial" w:cs="Arial"/>
          <w:bCs/>
        </w:rPr>
        <w:t>Select “Pension.”</w:t>
      </w:r>
    </w:p>
    <w:p w:rsidR="00420DE6" w:rsidRPr="00420DE6" w:rsidRDefault="00420DE6" w:rsidP="00420DE6">
      <w:pPr>
        <w:numPr>
          <w:ilvl w:val="0"/>
          <w:numId w:val="2"/>
        </w:numPr>
        <w:spacing w:after="0" w:line="240" w:lineRule="auto"/>
        <w:contextualSpacing/>
        <w:rPr>
          <w:rFonts w:ascii="Arial" w:eastAsia="Calibri" w:hAnsi="Arial" w:cs="Arial"/>
          <w:bCs/>
        </w:rPr>
      </w:pPr>
      <w:r w:rsidRPr="00420DE6">
        <w:rPr>
          <w:rFonts w:ascii="Arial" w:eastAsia="Calibri" w:hAnsi="Arial" w:cs="Arial"/>
          <w:bCs/>
        </w:rPr>
        <w:t>Click “Retire Now”</w:t>
      </w:r>
    </w:p>
    <w:p w:rsidR="00420DE6" w:rsidRPr="00420DE6" w:rsidRDefault="00420DE6" w:rsidP="00420DE6">
      <w:pPr>
        <w:numPr>
          <w:ilvl w:val="0"/>
          <w:numId w:val="2"/>
        </w:numPr>
        <w:spacing w:after="0" w:line="240" w:lineRule="auto"/>
        <w:contextualSpacing/>
        <w:rPr>
          <w:rFonts w:ascii="Arial" w:eastAsia="Calibri" w:hAnsi="Arial" w:cs="Arial"/>
          <w:bCs/>
        </w:rPr>
      </w:pPr>
      <w:r w:rsidRPr="00420DE6">
        <w:rPr>
          <w:rFonts w:ascii="Arial" w:eastAsia="Calibri" w:hAnsi="Arial" w:cs="Arial"/>
          <w:bCs/>
        </w:rPr>
        <w:t>Follow the steps as instructed.</w:t>
      </w:r>
    </w:p>
    <w:p w:rsidR="00420DE6" w:rsidRPr="00420DE6" w:rsidRDefault="00420DE6" w:rsidP="00420DE6">
      <w:pPr>
        <w:spacing w:line="240" w:lineRule="auto"/>
        <w:ind w:left="1440"/>
        <w:contextualSpacing/>
        <w:rPr>
          <w:rFonts w:ascii="Arial" w:eastAsia="Calibri" w:hAnsi="Arial" w:cs="Arial"/>
          <w:bCs/>
          <w:sz w:val="16"/>
          <w:szCs w:val="16"/>
        </w:rPr>
      </w:pPr>
    </w:p>
    <w:p w:rsidR="00420DE6" w:rsidRPr="00420DE6" w:rsidRDefault="00420DE6" w:rsidP="00420DE6">
      <w:pPr>
        <w:numPr>
          <w:ilvl w:val="0"/>
          <w:numId w:val="1"/>
        </w:numPr>
        <w:spacing w:after="0" w:line="240" w:lineRule="auto"/>
        <w:contextualSpacing/>
        <w:rPr>
          <w:rFonts w:ascii="Arial" w:eastAsia="Calibri" w:hAnsi="Arial" w:cs="Arial"/>
          <w:bCs/>
        </w:rPr>
      </w:pPr>
      <w:r w:rsidRPr="00420DE6">
        <w:rPr>
          <w:rFonts w:ascii="Arial" w:eastAsia="Calibri" w:hAnsi="Arial" w:cs="Arial"/>
          <w:bCs/>
        </w:rPr>
        <w:t>Once you’ve started the retirement process, you’ll receive a retirement package in the mail.  Carefully follow the instructions, and return all signed forms and required documentations, such as your marriage license together.</w:t>
      </w:r>
    </w:p>
    <w:p w:rsidR="00420DE6" w:rsidRPr="00420DE6" w:rsidRDefault="00420DE6" w:rsidP="00420DE6">
      <w:pPr>
        <w:spacing w:after="0" w:line="240" w:lineRule="auto"/>
        <w:rPr>
          <w:rFonts w:ascii="Arial" w:eastAsia="Times New Roman" w:hAnsi="Arial" w:cs="Arial"/>
          <w:bCs/>
        </w:rPr>
      </w:pPr>
      <w:r w:rsidRPr="00420DE6">
        <w:rPr>
          <w:rFonts w:ascii="Arial" w:eastAsia="Times New Roman" w:hAnsi="Arial" w:cs="Arial"/>
          <w:bCs/>
        </w:rPr>
        <w:t xml:space="preserve">If you’ve followed this procedure and retired on your elected date, you’ll receive your $500.00 payment, (less applicable tax deductions), during the first payroll period after your retirement date.  </w:t>
      </w:r>
      <w:r w:rsidRPr="005B553B">
        <w:rPr>
          <w:rFonts w:ascii="Arial" w:eastAsia="Times New Roman" w:hAnsi="Arial" w:cs="Arial"/>
          <w:bCs/>
          <w:highlight w:val="yellow"/>
        </w:rPr>
        <w:t>Please note that if you submit an Intent–to-Retire Notice to the Human Resources Department and later decide not to retire, you will be disqualified from future participation in this incentive program.</w:t>
      </w:r>
    </w:p>
    <w:p w:rsidR="00420DE6" w:rsidRPr="00420DE6" w:rsidRDefault="00420DE6" w:rsidP="00420DE6">
      <w:pPr>
        <w:spacing w:after="0" w:line="240" w:lineRule="auto"/>
        <w:rPr>
          <w:rFonts w:ascii="Arial" w:eastAsia="Times New Roman" w:hAnsi="Arial" w:cs="Arial"/>
          <w:bCs/>
          <w:sz w:val="16"/>
          <w:szCs w:val="16"/>
        </w:rPr>
      </w:pPr>
    </w:p>
    <w:p w:rsidR="00420DE6" w:rsidRPr="00420DE6" w:rsidRDefault="00420DE6" w:rsidP="00420DE6">
      <w:pPr>
        <w:spacing w:after="0" w:line="240" w:lineRule="auto"/>
        <w:rPr>
          <w:rFonts w:ascii="Arial" w:eastAsia="Times New Roman" w:hAnsi="Arial" w:cs="Arial"/>
          <w:bCs/>
        </w:rPr>
      </w:pPr>
      <w:r w:rsidRPr="00420DE6">
        <w:rPr>
          <w:rFonts w:ascii="Arial" w:eastAsia="Times New Roman" w:hAnsi="Arial" w:cs="Arial"/>
          <w:bCs/>
        </w:rPr>
        <w:t xml:space="preserve">If you have any questions, please contact </w:t>
      </w:r>
      <w:r w:rsidR="005B553B">
        <w:rPr>
          <w:rFonts w:ascii="Arial" w:eastAsia="Times New Roman" w:hAnsi="Arial" w:cs="Arial"/>
          <w:bCs/>
        </w:rPr>
        <w:t xml:space="preserve">your Human Resources Department, </w:t>
      </w:r>
      <w:r w:rsidRPr="00420DE6">
        <w:rPr>
          <w:rFonts w:ascii="Arial" w:eastAsia="Times New Roman" w:hAnsi="Arial" w:cs="Arial"/>
          <w:bCs/>
        </w:rPr>
        <w:t>Alcoa Benefits</w:t>
      </w:r>
      <w:r w:rsidR="005B553B">
        <w:rPr>
          <w:rFonts w:ascii="Arial" w:eastAsia="Times New Roman" w:hAnsi="Arial" w:cs="Arial"/>
          <w:bCs/>
        </w:rPr>
        <w:t>.</w:t>
      </w:r>
    </w:p>
    <w:p w:rsidR="0093751E" w:rsidRDefault="00420DE6" w:rsidP="00420DE6">
      <w:pPr>
        <w:spacing w:after="0" w:line="240" w:lineRule="auto"/>
        <w:rPr>
          <w:sz w:val="52"/>
          <w:szCs w:val="52"/>
        </w:rPr>
      </w:pPr>
      <w:r w:rsidRPr="00420DE6">
        <w:rPr>
          <w:rFonts w:ascii="Arial" w:eastAsia="Times New Roman" w:hAnsi="Arial" w:cs="Arial"/>
          <w:bCs/>
          <w:sz w:val="24"/>
          <w:szCs w:val="24"/>
        </w:rPr>
        <w:t xml:space="preserve">Complete and return </w:t>
      </w:r>
      <w:r w:rsidR="005B553B">
        <w:rPr>
          <w:rFonts w:ascii="Arial" w:eastAsia="Times New Roman" w:hAnsi="Arial" w:cs="Arial"/>
          <w:bCs/>
          <w:sz w:val="24"/>
          <w:szCs w:val="24"/>
        </w:rPr>
        <w:t>your</w:t>
      </w:r>
      <w:r w:rsidRPr="00420DE6">
        <w:rPr>
          <w:rFonts w:ascii="Arial" w:eastAsia="Times New Roman" w:hAnsi="Arial" w:cs="Arial"/>
          <w:bCs/>
          <w:sz w:val="24"/>
          <w:szCs w:val="24"/>
        </w:rPr>
        <w:t xml:space="preserve"> Intent-to-Retire Notice to the Human Resources Department at least </w:t>
      </w:r>
      <w:r w:rsidRPr="005B553B">
        <w:rPr>
          <w:rFonts w:ascii="Arial" w:eastAsia="Times New Roman" w:hAnsi="Arial" w:cs="Arial"/>
          <w:bCs/>
          <w:sz w:val="24"/>
          <w:szCs w:val="24"/>
          <w:highlight w:val="yellow"/>
          <w:u w:val="single"/>
        </w:rPr>
        <w:t>three full</w:t>
      </w:r>
      <w:r w:rsidRPr="00420DE6">
        <w:rPr>
          <w:rFonts w:ascii="Arial" w:eastAsia="Times New Roman" w:hAnsi="Arial" w:cs="Arial"/>
          <w:bCs/>
          <w:sz w:val="24"/>
          <w:szCs w:val="24"/>
          <w:u w:val="single"/>
        </w:rPr>
        <w:t xml:space="preserve"> </w:t>
      </w:r>
      <w:r w:rsidRPr="005B553B">
        <w:rPr>
          <w:rFonts w:ascii="Arial" w:eastAsia="Times New Roman" w:hAnsi="Arial" w:cs="Arial"/>
          <w:bCs/>
          <w:sz w:val="24"/>
          <w:szCs w:val="24"/>
          <w:highlight w:val="yellow"/>
          <w:u w:val="single"/>
        </w:rPr>
        <w:t>months</w:t>
      </w:r>
      <w:r w:rsidRPr="00420DE6">
        <w:rPr>
          <w:rFonts w:ascii="Arial" w:eastAsia="Times New Roman" w:hAnsi="Arial" w:cs="Arial"/>
          <w:bCs/>
          <w:sz w:val="24"/>
          <w:szCs w:val="24"/>
        </w:rPr>
        <w:t xml:space="preserve"> before your selected retirement date.</w:t>
      </w:r>
      <w:r>
        <w:rPr>
          <w:sz w:val="52"/>
          <w:szCs w:val="52"/>
        </w:rPr>
        <w:t xml:space="preserve"> </w:t>
      </w:r>
    </w:p>
    <w:p w:rsidR="00130BC5" w:rsidRPr="00420DE6" w:rsidRDefault="00130BC5" w:rsidP="00BA7A0D">
      <w:pPr>
        <w:rPr>
          <w:color w:val="FF0000"/>
          <w:sz w:val="16"/>
          <w:szCs w:val="16"/>
        </w:rPr>
      </w:pPr>
      <w:bookmarkStart w:id="0" w:name="_GoBack"/>
      <w:bookmarkEnd w:id="0"/>
    </w:p>
    <w:sectPr w:rsidR="00130BC5" w:rsidRPr="00420DE6" w:rsidSect="00420DE6">
      <w:headerReference w:type="default" r:id="rId10"/>
      <w:footerReference w:type="default" r:id="rId11"/>
      <w:type w:val="continuous"/>
      <w:pgSz w:w="12240" w:h="15840"/>
      <w:pgMar w:top="20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19" w:rsidRDefault="005F3E19" w:rsidP="00713B09">
      <w:pPr>
        <w:spacing w:after="0" w:line="240" w:lineRule="auto"/>
      </w:pPr>
      <w:r>
        <w:separator/>
      </w:r>
    </w:p>
  </w:endnote>
  <w:endnote w:type="continuationSeparator" w:id="0">
    <w:p w:rsidR="005F3E19" w:rsidRDefault="005F3E19" w:rsidP="00713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3063"/>
      <w:docPartObj>
        <w:docPartGallery w:val="Page Numbers (Bottom of Page)"/>
        <w:docPartUnique/>
      </w:docPartObj>
    </w:sdtPr>
    <w:sdtEndPr>
      <w:rPr>
        <w:color w:val="7F7F7F" w:themeColor="background1" w:themeShade="7F"/>
        <w:spacing w:val="60"/>
      </w:rPr>
    </w:sdtEndPr>
    <w:sdtContent>
      <w:p w:rsidR="005F3E19" w:rsidRDefault="005F3E19">
        <w:pPr>
          <w:pStyle w:val="Footer"/>
          <w:pBdr>
            <w:top w:val="single" w:sz="4" w:space="1" w:color="D9D9D9" w:themeColor="background1" w:themeShade="D9"/>
          </w:pBdr>
          <w:jc w:val="right"/>
        </w:pPr>
        <w:fldSimple w:instr=" PAGE   \* MERGEFORMAT ">
          <w:r w:rsidR="005B553B">
            <w:rPr>
              <w:noProof/>
            </w:rPr>
            <w:t>1</w:t>
          </w:r>
        </w:fldSimple>
        <w:r>
          <w:t xml:space="preserve"> | </w:t>
        </w:r>
        <w:r>
          <w:rPr>
            <w:color w:val="7F7F7F" w:themeColor="background1" w:themeShade="7F"/>
            <w:spacing w:val="60"/>
          </w:rPr>
          <w:t>Page</w:t>
        </w:r>
      </w:p>
    </w:sdtContent>
  </w:sdt>
  <w:p w:rsidR="005F3E19" w:rsidRDefault="005F3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19" w:rsidRDefault="005F3E19" w:rsidP="00713B09">
      <w:pPr>
        <w:spacing w:after="0" w:line="240" w:lineRule="auto"/>
      </w:pPr>
      <w:r>
        <w:separator/>
      </w:r>
    </w:p>
  </w:footnote>
  <w:footnote w:type="continuationSeparator" w:id="0">
    <w:p w:rsidR="005F3E19" w:rsidRDefault="005F3E19" w:rsidP="00713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19" w:rsidRDefault="005F3E19" w:rsidP="00713B09">
    <w:pPr>
      <w:pStyle w:val="Header"/>
      <w:jc w:val="center"/>
    </w:pPr>
    <w:r>
      <w:rPr>
        <w:noProof/>
      </w:rPr>
      <w:pict>
        <v:rect id="_x0000_s2049" style="position:absolute;left:0;text-align:left;margin-left:393pt;margin-top:0;width:77.25pt;height:42.75pt;z-index:251658240">
          <v:textbox style="mso-next-textbox:#_x0000_s2049">
            <w:txbxContent>
              <w:p w:rsidR="005F3E19" w:rsidRPr="00713B09" w:rsidRDefault="005F3E19" w:rsidP="00713B09">
                <w:pPr>
                  <w:spacing w:after="0"/>
                  <w:rPr>
                    <w:sz w:val="16"/>
                    <w:szCs w:val="16"/>
                  </w:rPr>
                </w:pPr>
                <w:r w:rsidRPr="00713B09">
                  <w:rPr>
                    <w:sz w:val="16"/>
                    <w:szCs w:val="16"/>
                  </w:rPr>
                  <w:t>In this Issue:</w:t>
                </w:r>
              </w:p>
              <w:p w:rsidR="005F3E19" w:rsidRPr="00713B09" w:rsidRDefault="005F3E19" w:rsidP="00713B09">
                <w:pPr>
                  <w:spacing w:after="0"/>
                  <w:rPr>
                    <w:sz w:val="16"/>
                    <w:szCs w:val="16"/>
                  </w:rPr>
                </w:pPr>
                <w:r w:rsidRPr="00713B09">
                  <w:rPr>
                    <w:sz w:val="16"/>
                    <w:szCs w:val="16"/>
                  </w:rPr>
                  <w:t>BA's Report</w:t>
                </w:r>
              </w:p>
              <w:p w:rsidR="005F3E19" w:rsidRPr="00713B09" w:rsidRDefault="005F3E19" w:rsidP="00713B09">
                <w:pPr>
                  <w:spacing w:after="0"/>
                  <w:rPr>
                    <w:sz w:val="16"/>
                    <w:szCs w:val="16"/>
                  </w:rPr>
                </w:pPr>
                <w:r w:rsidRPr="00713B09">
                  <w:rPr>
                    <w:sz w:val="16"/>
                    <w:szCs w:val="16"/>
                  </w:rPr>
                  <w:t>Good and Welfare</w:t>
                </w:r>
              </w:p>
            </w:txbxContent>
          </v:textbox>
        </v:rect>
      </w:pict>
    </w:r>
    <w:r>
      <w:rPr>
        <w:noProof/>
      </w:rPr>
      <w:drawing>
        <wp:inline distT="0" distB="0" distL="0" distR="0">
          <wp:extent cx="1828800" cy="914400"/>
          <wp:effectExtent l="19050" t="0" r="0" b="0"/>
          <wp:docPr id="4" name="Picture 3" descr="USW-black-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black-2in.jpg"/>
                  <pic:cNvPicPr/>
                </pic:nvPicPr>
                <pic:blipFill>
                  <a:blip r:embed="rId1"/>
                  <a:stretch>
                    <a:fillRect/>
                  </a:stretch>
                </pic:blipFill>
                <pic:spPr>
                  <a:xfrm>
                    <a:off x="0" y="0"/>
                    <a:ext cx="1828800" cy="914400"/>
                  </a:xfrm>
                  <a:prstGeom prst="rect">
                    <a:avLst/>
                  </a:prstGeom>
                </pic:spPr>
              </pic:pic>
            </a:graphicData>
          </a:graphic>
        </wp:inline>
      </w:drawing>
    </w:r>
    <w:r>
      <w:t xml:space="preserve">                    </w:t>
    </w:r>
  </w:p>
  <w:p w:rsidR="005F3E19" w:rsidRPr="00713B09" w:rsidRDefault="005F3E19" w:rsidP="00713B09">
    <w:pPr>
      <w:pStyle w:val="Header"/>
      <w:jc w:val="center"/>
      <w:rPr>
        <w:sz w:val="40"/>
        <w:szCs w:val="40"/>
      </w:rPr>
    </w:pPr>
    <w:r w:rsidRPr="00713B09">
      <w:rPr>
        <w:sz w:val="40"/>
        <w:szCs w:val="40"/>
      </w:rPr>
      <w:t>LOCAL 104 COMMUNICATOR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0C46"/>
    <w:multiLevelType w:val="hybridMultilevel"/>
    <w:tmpl w:val="7EA03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D217A"/>
    <w:multiLevelType w:val="hybridMultilevel"/>
    <w:tmpl w:val="CDE443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13B09"/>
    <w:rsid w:val="00010347"/>
    <w:rsid w:val="00015691"/>
    <w:rsid w:val="0006391E"/>
    <w:rsid w:val="000C08EF"/>
    <w:rsid w:val="000C56C3"/>
    <w:rsid w:val="000C7DFD"/>
    <w:rsid w:val="0010536F"/>
    <w:rsid w:val="001122FC"/>
    <w:rsid w:val="00130BC5"/>
    <w:rsid w:val="001A02D5"/>
    <w:rsid w:val="001E4DA7"/>
    <w:rsid w:val="00224B34"/>
    <w:rsid w:val="00367038"/>
    <w:rsid w:val="003C7571"/>
    <w:rsid w:val="0040602A"/>
    <w:rsid w:val="004101F5"/>
    <w:rsid w:val="00420DE6"/>
    <w:rsid w:val="00446313"/>
    <w:rsid w:val="00446EB8"/>
    <w:rsid w:val="004E67FE"/>
    <w:rsid w:val="004F1C13"/>
    <w:rsid w:val="0051689C"/>
    <w:rsid w:val="00522F8E"/>
    <w:rsid w:val="00547985"/>
    <w:rsid w:val="005B184E"/>
    <w:rsid w:val="005B553B"/>
    <w:rsid w:val="005D74B7"/>
    <w:rsid w:val="005F3E19"/>
    <w:rsid w:val="006E1359"/>
    <w:rsid w:val="0070038D"/>
    <w:rsid w:val="00713B09"/>
    <w:rsid w:val="0073419E"/>
    <w:rsid w:val="007A5A60"/>
    <w:rsid w:val="007B04E3"/>
    <w:rsid w:val="00815A8B"/>
    <w:rsid w:val="008772BC"/>
    <w:rsid w:val="008C0602"/>
    <w:rsid w:val="008E4038"/>
    <w:rsid w:val="00910689"/>
    <w:rsid w:val="0093751E"/>
    <w:rsid w:val="0095773A"/>
    <w:rsid w:val="00982670"/>
    <w:rsid w:val="00993BBE"/>
    <w:rsid w:val="00AA6427"/>
    <w:rsid w:val="00AC7C82"/>
    <w:rsid w:val="00BA7A0D"/>
    <w:rsid w:val="00C028B4"/>
    <w:rsid w:val="00C448AE"/>
    <w:rsid w:val="00C8586A"/>
    <w:rsid w:val="00D2344B"/>
    <w:rsid w:val="00D417F5"/>
    <w:rsid w:val="00D42529"/>
    <w:rsid w:val="00DA06EF"/>
    <w:rsid w:val="00DC6343"/>
    <w:rsid w:val="00DC7B02"/>
    <w:rsid w:val="00E1369C"/>
    <w:rsid w:val="00E52610"/>
    <w:rsid w:val="00E8178F"/>
    <w:rsid w:val="00F305C5"/>
    <w:rsid w:val="00F4413F"/>
    <w:rsid w:val="00F72651"/>
    <w:rsid w:val="00F757BB"/>
    <w:rsid w:val="00FD302C"/>
    <w:rsid w:val="00FF1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09"/>
    <w:rPr>
      <w:rFonts w:ascii="Tahoma" w:hAnsi="Tahoma" w:cs="Tahoma"/>
      <w:sz w:val="16"/>
      <w:szCs w:val="16"/>
    </w:rPr>
  </w:style>
  <w:style w:type="paragraph" w:styleId="Header">
    <w:name w:val="header"/>
    <w:basedOn w:val="Normal"/>
    <w:link w:val="HeaderChar"/>
    <w:uiPriority w:val="99"/>
    <w:unhideWhenUsed/>
    <w:rsid w:val="0071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B09"/>
  </w:style>
  <w:style w:type="paragraph" w:styleId="Footer">
    <w:name w:val="footer"/>
    <w:basedOn w:val="Normal"/>
    <w:link w:val="FooterChar"/>
    <w:uiPriority w:val="99"/>
    <w:unhideWhenUsed/>
    <w:rsid w:val="0071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09"/>
  </w:style>
  <w:style w:type="table" w:styleId="LightShading-Accent5">
    <w:name w:val="Light Shading Accent 5"/>
    <w:basedOn w:val="TableNormal"/>
    <w:uiPriority w:val="60"/>
    <w:rsid w:val="004E67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4E67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ources.hewitt.com/alc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29A2-146D-4389-9625-1C662C73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USW104</cp:lastModifiedBy>
  <cp:revision>2</cp:revision>
  <cp:lastPrinted>2018-12-07T18:24:00Z</cp:lastPrinted>
  <dcterms:created xsi:type="dcterms:W3CDTF">2019-02-19T18:42:00Z</dcterms:created>
  <dcterms:modified xsi:type="dcterms:W3CDTF">2019-02-19T18:42:00Z</dcterms:modified>
</cp:coreProperties>
</file>